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77777777"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29 stycznia 2004 r. Prawo zamówień publicznych</w:t>
      </w:r>
      <w:r w:rsidR="00FC5188">
        <w:t xml:space="preserve"> </w:t>
      </w:r>
      <w:r w:rsidR="00252B49" w:rsidRPr="003A10FB">
        <w:t>zwanej dalej „ustawą Pzp</w:t>
      </w:r>
      <w:r w:rsidR="001E2DA3">
        <w:t>”</w:t>
      </w:r>
      <w:r w:rsidRPr="003B3B22">
        <w:t>;</w:t>
      </w:r>
    </w:p>
    <w:p w14:paraId="0695E6F3" w14:textId="22ABD3D3"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Infrastruktury i Rozwoju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w:t>
      </w:r>
      <w:bookmarkStart w:id="0" w:name="_GoBack"/>
      <w:bookmarkEnd w:id="0"/>
      <w:r w:rsidRPr="003B3B22">
        <w:t xml:space="preserve">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Pr="003B3B22"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cross-financingu</w:t>
      </w:r>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 xml:space="preserve">o dofinansowanie realizacji Projektu są niekwalifikowalne. Z uwagi na </w:t>
      </w:r>
      <w:r w:rsidRPr="003B3B22">
        <w:lastRenderedPageBreak/>
        <w:t>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 xml:space="preserve">Udoskonalanie infrastruktury badań i innowacji i zwiększanie </w:t>
      </w:r>
      <w:r w:rsidRPr="003B3B22">
        <w:rPr>
          <w:i/>
        </w:rPr>
        <w:lastRenderedPageBreak/>
        <w:t>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lastRenderedPageBreak/>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lastRenderedPageBreak/>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lastRenderedPageBreak/>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ex-ante,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t>
      </w:r>
      <w:r>
        <w:rPr>
          <w:rFonts w:ascii="Times New Roman" w:eastAsiaTheme="minorHAnsi" w:hAnsi="Times New Roman" w:cs="Times New Roman"/>
          <w:color w:val="auto"/>
          <w:lang w:eastAsia="en-US"/>
        </w:rPr>
        <w:lastRenderedPageBreak/>
        <w:t>(wykazany w studium wykonalności) jest wyższy od nowego wskaźnika, następuje zwrot dofinansowania w wysokości odpowiadającej różnicy pomiędzy wysokością dotacji obliczoną ex-ante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lastRenderedPageBreak/>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lastRenderedPageBreak/>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lastRenderedPageBreak/>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lastRenderedPageBreak/>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w przypadku gdy wymóg ich stosowania wynika z ustawy Pzp.</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Beneficjent udzielający zamówień, do których nie stosuje się ustawy Pzp,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lastRenderedPageBreak/>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28BCF20F"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169 ust. 2 pkt 1) lub pkt 2) </w:t>
      </w:r>
      <w:r w:rsidR="009A2D17">
        <w:t>u</w:t>
      </w:r>
      <w:r w:rsidR="00E97581">
        <w:t>stawy Pzp</w:t>
      </w:r>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lastRenderedPageBreak/>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Beneficjent zapewnia, że osoby, o których mowa w ust. 4, wykorzystują profil zaufany ePUAP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W przypadku gdy z powodów technicznych wykorzystanie profilu zaufanego ePUAP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lastRenderedPageBreak/>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r>
      <w:r w:rsidR="00725E89" w:rsidRPr="00F10430">
        <w:rPr>
          <w:rFonts w:cs="Arial"/>
        </w:rPr>
        <w:lastRenderedPageBreak/>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lastRenderedPageBreak/>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w:t>
      </w:r>
      <w:r w:rsidRPr="00896804">
        <w:rPr>
          <w:rFonts w:ascii="Times New Roman" w:eastAsia="Times New Roman" w:hAnsi="Times New Roman" w:cs="Times New Roman"/>
          <w:color w:val="auto"/>
        </w:rPr>
        <w:lastRenderedPageBreak/>
        <w:t>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lastRenderedPageBreak/>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lastRenderedPageBreak/>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lastRenderedPageBreak/>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lastRenderedPageBreak/>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lastRenderedPageBreak/>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sierpnia 1997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lastRenderedPageBreak/>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 xml:space="preserve">zwaną/ym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571AF0F2" w:rsidR="00AD677F" w:rsidRPr="007E49DC" w:rsidRDefault="00AD677F">
      <w:pPr>
        <w:widowControl w:val="0"/>
        <w:jc w:val="both"/>
        <w:rPr>
          <w:rFonts w:eastAsia="Calibri"/>
        </w:rPr>
      </w:pPr>
      <w:r w:rsidRPr="007E49DC">
        <w:rPr>
          <w:rFonts w:eastAsia="Calibri"/>
        </w:rPr>
        <w:t xml:space="preserve">w wykonaniu Umowy/Decyzji/Porozumienia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60A0E278" w:rsidR="00CF64BC" w:rsidRPr="00CF64BC" w:rsidRDefault="00CF64BC" w:rsidP="00CF64BC">
      <w:pPr>
        <w:numPr>
          <w:ilvl w:val="0"/>
          <w:numId w:val="83"/>
        </w:numPr>
        <w:suppressAutoHyphens/>
        <w:spacing w:after="200"/>
        <w:contextualSpacing/>
        <w:jc w:val="both"/>
      </w:pPr>
      <w:r w:rsidRPr="00CF64BC">
        <w:t>Administratorem danych osobowych w odniesieniu do czynności przetwarzania/procesów</w:t>
      </w:r>
      <w:r w:rsidRPr="00CF64BC">
        <w:br/>
        <w:t>w ramach RPOWP 2014-2020 jest Województwo Podlaskie reprezentowane przez Marszałka oraz Zarząd Województwa Podlaskiego (Urząd Marszałkowski Województwa Podlaskiego  w Białymstoku, ul. Kardynała Stefana Wyszyńskiego 1, 15-888 Białystok, tel. +48 (85)6654549, e-mail: kancelaria@wrotapodlasia.pl,www.bip.umwp.wrotapodlasia.pl).</w:t>
      </w:r>
    </w:p>
    <w:p w14:paraId="7359DB48" w14:textId="6ABABBBD" w:rsidR="00CF64BC" w:rsidRPr="00861A1B" w:rsidRDefault="00CF64BC" w:rsidP="000F3BEB">
      <w:pPr>
        <w:numPr>
          <w:ilvl w:val="0"/>
          <w:numId w:val="83"/>
        </w:numPr>
        <w:suppressAutoHyphens/>
        <w:spacing w:after="200"/>
        <w:contextualSpacing/>
        <w:jc w:val="both"/>
        <w:rPr>
          <w:b/>
        </w:rPr>
      </w:pPr>
      <w:r w:rsidRPr="00CF64BC">
        <w:t xml:space="preserve">Administratorem danych osobowych przetwarzanych w ramach Centralnego Systemu Teleinformatycznego (o którym mowa w rozdziale 16 Ustawy wdrożeniowej) wspierającego realizację programów operacyjnych w związku z realizacją RPOWP 2014-2020,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tym samym Zarząd Województwa został umocowany do dalszego powierzania Beneficjentom </w:t>
      </w:r>
      <w:r w:rsidRPr="00CF64BC">
        <w:lastRenderedPageBreak/>
        <w:t>przetwarzania danych osobowych</w:t>
      </w:r>
      <w:r w:rsidRPr="00CF64BC">
        <w:rPr>
          <w:rStyle w:val="Odwoanieprzypisudolnego"/>
        </w:rPr>
        <w:footnoteReference w:id="9"/>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77777777"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t xml:space="preserve">wstępu, w godzinach pracy podmiotu kontrolowanego, za okazaniem imiennego upoważnienia, do pomieszczeń, w których są zlokalizowane dane osobowe powierzone do przetwarzania </w:t>
      </w:r>
      <w:r w:rsidRPr="007E49DC">
        <w:rPr>
          <w:rFonts w:eastAsia="Calibri"/>
        </w:rPr>
        <w:lastRenderedPageBreak/>
        <w:t>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lastRenderedPageBreak/>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D52F18" w:rsidRDefault="00D52F18">
            <w:pPr>
              <w:autoSpaceDE w:val="0"/>
              <w:autoSpaceDN w:val="0"/>
              <w:rPr>
                <w:rFonts w:eastAsia="Calibri"/>
              </w:rPr>
            </w:pPr>
            <w:r w:rsidRPr="00D52F18">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D52F18" w:rsidRDefault="00D52F18">
            <w:pPr>
              <w:autoSpaceDE w:val="0"/>
              <w:autoSpaceDN w:val="0"/>
              <w:rPr>
                <w:rFonts w:eastAsia="Calibri"/>
              </w:rPr>
            </w:pPr>
            <w:r w:rsidRPr="00D52F18">
              <w:rPr>
                <w:rFonts w:eastAsia="Calibri"/>
              </w:rPr>
              <w:t>Numer przyłącza gazowego</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4EC2BEE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9" w:history="1">
        <w:r w:rsidRPr="000220F7">
          <w:rPr>
            <w:rStyle w:val="Hipercze"/>
            <w:rFonts w:eastAsia="Calibri"/>
            <w:i/>
          </w:rPr>
          <w:t>kancelaria@wrotapodlasia.pl</w:t>
        </w:r>
      </w:hyperlink>
      <w:r w:rsidRPr="000220F7">
        <w:t xml:space="preserve">, </w:t>
      </w:r>
      <w:hyperlink r:id="rId10"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0220F7">
          <w:rPr>
            <w:rStyle w:val="Hipercze"/>
          </w:rPr>
          <w:t>kancelaria@miir.gov.pl</w:t>
        </w:r>
      </w:hyperlink>
      <w:r w:rsidRPr="000220F7">
        <w:t>)</w:t>
      </w:r>
      <w:r>
        <w:t>;</w:t>
      </w:r>
    </w:p>
    <w:p w14:paraId="14E49153" w14:textId="0EB1891D"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2" w:history="1">
        <w:r w:rsidRPr="000220F7">
          <w:rPr>
            <w:i/>
            <w:color w:val="0000FF"/>
            <w:u w:val="single"/>
            <w:lang w:eastAsia="en-US"/>
          </w:rPr>
          <w:t>iod@miir.gov.pl</w:t>
        </w:r>
      </w:hyperlink>
      <w:r w:rsidRPr="000220F7">
        <w:rPr>
          <w:lang w:eastAsia="en-US"/>
        </w:rPr>
        <w:br/>
        <w:t xml:space="preserve">i </w:t>
      </w:r>
      <w:hyperlink r:id="rId13"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5E5B7186" w14:textId="77777777" w:rsidR="00A11F18" w:rsidRPr="002B771F" w:rsidRDefault="00A11F18">
      <w:pPr>
        <w:keepNext/>
        <w:tabs>
          <w:tab w:val="left" w:pos="0"/>
        </w:tabs>
        <w:suppressAutoHyphens/>
        <w:outlineLvl w:val="1"/>
        <w:rPr>
          <w:i/>
          <w:iCs/>
          <w:lang w:eastAsia="ar-SA"/>
        </w:rPr>
      </w:pPr>
    </w:p>
    <w:p w14:paraId="751F197D" w14:textId="77777777" w:rsidR="00A11F18" w:rsidRPr="002B771F" w:rsidRDefault="00A11F18">
      <w:pPr>
        <w:keepNext/>
        <w:tabs>
          <w:tab w:val="left" w:pos="0"/>
        </w:tabs>
        <w:suppressAutoHyphens/>
        <w:outlineLvl w:val="1"/>
        <w:rPr>
          <w:i/>
          <w:iCs/>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6DE39171" w14:textId="77777777" w:rsidR="00A11F18" w:rsidRPr="00555029" w:rsidRDefault="00C74406">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p>
    <w:p w14:paraId="4E4F9A61" w14:textId="77777777" w:rsidR="00A11F18" w:rsidRPr="00555029" w:rsidRDefault="00A11F18">
      <w:pPr>
        <w:suppressAutoHyphens/>
        <w:jc w:val="center"/>
        <w:rPr>
          <w:b/>
          <w:bCs/>
          <w:spacing w:val="20"/>
          <w:lang w:eastAsia="ar-SA"/>
        </w:rPr>
      </w:pPr>
    </w:p>
    <w:p w14:paraId="2D56A163" w14:textId="1559AAEE" w:rsidR="00A11F18" w:rsidRPr="00555029" w:rsidRDefault="00C74406">
      <w:pPr>
        <w:suppressAutoHyphens/>
        <w:jc w:val="both"/>
        <w:rPr>
          <w:lang w:eastAsia="ar-SA"/>
        </w:rPr>
      </w:pPr>
      <w:r w:rsidRPr="00555029">
        <w:rPr>
          <w:lang w:eastAsia="ar-SA"/>
        </w:rPr>
        <w:t xml:space="preserve">W związku z </w:t>
      </w:r>
      <w:r w:rsidR="003E733F">
        <w:rPr>
          <w:lang w:eastAsia="ar-SA"/>
        </w:rPr>
        <w:t>aplikowanie</w:t>
      </w:r>
      <w:r w:rsidR="00E04316">
        <w:rPr>
          <w:lang w:eastAsia="ar-SA"/>
        </w:rPr>
        <w:t>m</w:t>
      </w:r>
      <w:r w:rsidR="003E733F">
        <w:rPr>
          <w:lang w:eastAsia="ar-SA"/>
        </w:rPr>
        <w:t xml:space="preserve"> o przyznanie</w:t>
      </w:r>
      <w:r w:rsidR="003E733F" w:rsidRPr="00555029">
        <w:rPr>
          <w:lang w:eastAsia="ar-SA"/>
        </w:rPr>
        <w:t xml:space="preserve"> </w:t>
      </w:r>
      <w:r w:rsidRPr="00555029">
        <w:rPr>
          <w:lang w:eastAsia="ar-SA"/>
        </w:rPr>
        <w:t xml:space="preserve">dofinansowania w ramach Regionalnego Programu Operacyjnego Województwa Podlaskiego na lata 2014-2020 na realizację projektu ............................................................................................................................. </w:t>
      </w:r>
      <w:r w:rsidRPr="00555029">
        <w:rPr>
          <w:i/>
          <w:iCs/>
          <w:lang w:eastAsia="ar-SA"/>
        </w:rPr>
        <w:t xml:space="preserve">(tytuł projektu) </w:t>
      </w:r>
      <w:r w:rsidRPr="00555029">
        <w:rPr>
          <w:lang w:eastAsia="ar-SA"/>
        </w:rPr>
        <w:t xml:space="preserve">oświadczam, </w:t>
      </w:r>
      <w:r w:rsidR="003E733F">
        <w:rPr>
          <w:lang w:eastAsia="ar-SA"/>
        </w:rPr>
        <w:t>że ………………………….. (</w:t>
      </w:r>
      <w:r w:rsidR="003E733F" w:rsidRPr="003E733F">
        <w:rPr>
          <w:i/>
          <w:lang w:eastAsia="ar-SA"/>
        </w:rPr>
        <w:t>Wnioskodawca/Beneficjent</w:t>
      </w:r>
      <w:r w:rsidR="003E733F">
        <w:rPr>
          <w:lang w:eastAsia="ar-SA"/>
        </w:rPr>
        <w:t>)</w:t>
      </w:r>
      <w:r w:rsidRPr="00555029">
        <w:rPr>
          <w:lang w:eastAsia="ar-SA"/>
        </w:rPr>
        <w:t xml:space="preserve"> realizując powyższy projekt nie może</w:t>
      </w:r>
      <w:r w:rsidR="003E733F">
        <w:rPr>
          <w:lang w:eastAsia="ar-SA"/>
        </w:rPr>
        <w:t xml:space="preserve"> </w:t>
      </w:r>
      <w:r w:rsidRPr="00555029">
        <w:rPr>
          <w:lang w:eastAsia="ar-SA"/>
        </w:rPr>
        <w:t xml:space="preserve">odzyskać w żaden sposób poniesionego kosztu podatku VAT. </w:t>
      </w:r>
      <w:r w:rsidR="003E733F">
        <w:rPr>
          <w:lang w:eastAsia="ar-SA"/>
        </w:rPr>
        <w:t>Brak powyższej możliwości odzyskania podatku VAT wynika z faktu (</w:t>
      </w:r>
      <w:r w:rsidR="003E733F">
        <w:rPr>
          <w:i/>
          <w:lang w:eastAsia="ar-SA"/>
        </w:rPr>
        <w:t>podstawa prawna i szczegółowe uzasadnienie</w:t>
      </w:r>
      <w:r w:rsidR="003E733F">
        <w:rPr>
          <w:lang w:eastAsia="ar-SA"/>
        </w:rPr>
        <w:t xml:space="preserve">) </w:t>
      </w:r>
      <w:r w:rsidR="00B47F1D">
        <w:rPr>
          <w:lang w:eastAsia="ar-SA"/>
        </w:rPr>
        <w:t>……………………………………………………………………………………………………………</w:t>
      </w:r>
      <w:r w:rsidR="003E733F">
        <w:rPr>
          <w:lang w:eastAsia="ar-SA"/>
        </w:rPr>
        <w:t>…………………………………………………………………………………………………………………………………………………………………………………………………………………………………………………………………………………………………………………………………….</w:t>
      </w:r>
    </w:p>
    <w:p w14:paraId="6F7A0F94" w14:textId="77777777" w:rsidR="00A11F18" w:rsidRPr="00555029" w:rsidRDefault="00A11F18">
      <w:pPr>
        <w:suppressAutoHyphens/>
        <w:ind w:firstLine="708"/>
        <w:jc w:val="both"/>
        <w:rPr>
          <w:lang w:eastAsia="ar-SA"/>
        </w:rPr>
      </w:pPr>
    </w:p>
    <w:p w14:paraId="38B49EF2" w14:textId="749AC801" w:rsidR="00A11F18" w:rsidRPr="00555029" w:rsidRDefault="00C74406">
      <w:pPr>
        <w:suppressAutoHyphens/>
        <w:jc w:val="both"/>
        <w:rPr>
          <w:lang w:eastAsia="ar-SA"/>
        </w:rPr>
      </w:pPr>
      <w:r w:rsidRPr="00555029">
        <w:rPr>
          <w:lang w:eastAsia="ar-SA"/>
        </w:rPr>
        <w:t>Jednocześnie</w:t>
      </w:r>
      <w:r w:rsidR="0034751A">
        <w:rPr>
          <w:lang w:eastAsia="ar-SA"/>
        </w:rPr>
        <w:t xml:space="preserve"> </w:t>
      </w:r>
      <w:r w:rsidRPr="00555029">
        <w:rPr>
          <w:lang w:eastAsia="ar-SA"/>
        </w:rPr>
        <w:t xml:space="preserve">zobowiązuje się do zwrotu części lub całości poniesionego podatku VAT, jeżeli zaistnieją przesłanki umożliwiające </w:t>
      </w:r>
      <w:r w:rsidR="00072EB8">
        <w:rPr>
          <w:lang w:eastAsia="ar-SA"/>
        </w:rPr>
        <w:t xml:space="preserve">jego </w:t>
      </w:r>
      <w:r w:rsidRPr="00555029">
        <w:rPr>
          <w:lang w:eastAsia="ar-SA"/>
        </w:rPr>
        <w:t>odzyskanie</w:t>
      </w:r>
      <w:r w:rsidR="00072EB8">
        <w:rPr>
          <w:lang w:eastAsia="ar-SA"/>
        </w:rPr>
        <w:t xml:space="preserve"> oraz</w:t>
      </w:r>
      <w:r w:rsidRPr="00555029">
        <w:rPr>
          <w:lang w:eastAsia="ar-SA"/>
        </w:rPr>
        <w:t xml:space="preserve"> do udostępniania dokumentacji finansowo-księgowej</w:t>
      </w:r>
      <w:r w:rsidR="0034751A">
        <w:rPr>
          <w:lang w:eastAsia="ar-SA"/>
        </w:rPr>
        <w:t xml:space="preserve"> </w:t>
      </w:r>
      <w:r w:rsidR="006A4A98">
        <w:rPr>
          <w:lang w:eastAsia="ar-SA"/>
        </w:rPr>
        <w:t>umożliwiającej</w:t>
      </w:r>
      <w:r w:rsidRPr="00555029">
        <w:rPr>
          <w:lang w:eastAsia="ar-SA"/>
        </w:rPr>
        <w:t xml:space="preserve"> weryfikację kwalifikowalności podatku VAT.</w:t>
      </w:r>
    </w:p>
    <w:p w14:paraId="04427F43" w14:textId="77777777" w:rsidR="006A4A98" w:rsidRDefault="006A4A98">
      <w:pPr>
        <w:suppressAutoHyphens/>
        <w:jc w:val="both"/>
        <w:rPr>
          <w:szCs w:val="18"/>
        </w:rPr>
      </w:pPr>
    </w:p>
    <w:p w14:paraId="0618DC8C" w14:textId="77777777" w:rsidR="00AA12C2" w:rsidRPr="00555029" w:rsidRDefault="00F95E7E">
      <w:pPr>
        <w:suppressAutoHyphens/>
        <w:jc w:val="both"/>
        <w:rPr>
          <w:spacing w:val="20"/>
          <w:lang w:eastAsia="ar-SA"/>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w:t>
      </w:r>
      <w:r w:rsidR="00AD20DE">
        <w:rPr>
          <w:szCs w:val="18"/>
        </w:rPr>
        <w:t>.</w:t>
      </w:r>
    </w:p>
    <w:p w14:paraId="02D1AAF9" w14:textId="77777777" w:rsidR="004D4EE0" w:rsidRDefault="004D4EE0">
      <w:pPr>
        <w:suppressAutoHyphens/>
        <w:ind w:left="4320" w:firstLine="720"/>
        <w:jc w:val="both"/>
        <w:rPr>
          <w:spacing w:val="20"/>
          <w:lang w:eastAsia="ar-SA"/>
        </w:rPr>
      </w:pP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A520049" w14:textId="77777777" w:rsidR="00E35E82" w:rsidRDefault="00E35E82">
      <w:pPr>
        <w:spacing w:after="160" w:line="259" w:lineRule="auto"/>
      </w:pPr>
      <w:r>
        <w:br w:type="page"/>
      </w:r>
    </w:p>
    <w:p w14:paraId="26E1CB2F" w14:textId="74ED3533" w:rsidR="00804106" w:rsidRDefault="00804106" w:rsidP="00F81015">
      <w:pPr>
        <w:tabs>
          <w:tab w:val="center" w:pos="4536"/>
          <w:tab w:val="right" w:pos="9072"/>
        </w:tabs>
        <w:spacing w:after="240"/>
        <w:jc w:val="center"/>
        <w:rPr>
          <w:rFonts w:eastAsia="Calibri"/>
          <w:i/>
          <w:lang w:eastAsia="en-US"/>
        </w:rPr>
      </w:pPr>
      <w:r>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0"/>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1"/>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2"/>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3"/>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lastRenderedPageBreak/>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4"/>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5"/>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6"/>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17"/>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18"/>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w:t>
      </w:r>
      <w:r w:rsidRPr="006F3F97">
        <w:lastRenderedPageBreak/>
        <w:t xml:space="preserve">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I</w:t>
            </w:r>
            <w:r w:rsidRPr="006F3F97">
              <w:rPr>
                <w:b/>
                <w:bCs/>
                <w:sz w:val="32"/>
                <w:szCs w:val="32"/>
                <w:vertAlign w:val="subscript"/>
              </w:rPr>
              <w:t xml:space="preserve">dng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I</w:t>
            </w:r>
            <w:r w:rsidRPr="006F3F97">
              <w:rPr>
                <w:b/>
                <w:bCs/>
                <w:sz w:val="32"/>
                <w:szCs w:val="32"/>
                <w:vertAlign w:val="subscript"/>
              </w:rPr>
              <w:t xml:space="preserve">dg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19"/>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lastRenderedPageBreak/>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r w:rsidRPr="006F3F97">
        <w:rPr>
          <w:b/>
          <w:bCs/>
        </w:rPr>
        <w:t>I</w:t>
      </w:r>
      <w:r w:rsidRPr="006F3F97">
        <w:rPr>
          <w:b/>
          <w:bCs/>
          <w:vertAlign w:val="subscript"/>
        </w:rPr>
        <w:t>dng</w:t>
      </w:r>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0"/>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r w:rsidRPr="006F3F97">
        <w:rPr>
          <w:b/>
          <w:bCs/>
        </w:rPr>
        <w:t>I</w:t>
      </w:r>
      <w:r w:rsidRPr="006F3F97">
        <w:rPr>
          <w:b/>
          <w:bCs/>
          <w:vertAlign w:val="subscript"/>
        </w:rPr>
        <w:t>dg</w:t>
      </w:r>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 xml:space="preserve">Nieuwzględniona we wniosku o dofinansowanie działalność komercyjna wymaga aktualizacji analizy finansowej w zakresie wskaźnika luki w finansowaniu dla projektu (jeśli dotyczy). Jeżeli </w:t>
      </w:r>
      <w:r w:rsidRPr="00FB39F4">
        <w:lastRenderedPageBreak/>
        <w:t>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swap powiększonej o premię w wysokości 100 punktów bazowych</w:t>
      </w:r>
      <w:r w:rsidRPr="00F10430">
        <w:rPr>
          <w:rStyle w:val="Odwoanieprzypisudolnego"/>
        </w:rPr>
        <w:footnoteReference w:id="21"/>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09C1" w14:textId="77777777" w:rsidR="00CF64BC" w:rsidRDefault="00CF64BC" w:rsidP="0050422B">
      <w:r>
        <w:separator/>
      </w:r>
    </w:p>
    <w:p w14:paraId="2F86E75D" w14:textId="77777777" w:rsidR="00CF64BC" w:rsidRDefault="00CF64BC"/>
    <w:p w14:paraId="04AB5BCD" w14:textId="77777777" w:rsidR="00CF64BC" w:rsidRDefault="00CF64BC"/>
  </w:endnote>
  <w:endnote w:type="continuationSeparator" w:id="0">
    <w:p w14:paraId="4AC2B151" w14:textId="77777777" w:rsidR="00CF64BC" w:rsidRDefault="00CF64BC" w:rsidP="0050422B">
      <w:r>
        <w:continuationSeparator/>
      </w:r>
    </w:p>
    <w:p w14:paraId="4572BB40" w14:textId="77777777" w:rsidR="00CF64BC" w:rsidRDefault="00CF64BC"/>
    <w:p w14:paraId="4BD81A66" w14:textId="77777777" w:rsidR="00CF64BC" w:rsidRDefault="00CF6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7433"/>
      <w:docPartObj>
        <w:docPartGallery w:val="Page Numbers (Bottom of Page)"/>
        <w:docPartUnique/>
      </w:docPartObj>
    </w:sdtPr>
    <w:sdtEndPr>
      <w:rPr>
        <w:sz w:val="22"/>
      </w:rPr>
    </w:sdtEndPr>
    <w:sdtContent>
      <w:p w14:paraId="0B7BD7B5" w14:textId="77777777" w:rsidR="00CF64BC" w:rsidRPr="00C30769" w:rsidRDefault="00CF64BC">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C32F4">
          <w:rPr>
            <w:noProof/>
            <w:sz w:val="22"/>
          </w:rPr>
          <w:t>- 4 -</w:t>
        </w:r>
        <w:r w:rsidRPr="00C30769">
          <w:rPr>
            <w:noProof/>
            <w:sz w:val="22"/>
          </w:rPr>
          <w:fldChar w:fldCharType="end"/>
        </w:r>
      </w:p>
    </w:sdtContent>
  </w:sdt>
  <w:p w14:paraId="290EF294" w14:textId="77777777" w:rsidR="00CF64BC" w:rsidRDefault="00CF64BC">
    <w:pPr>
      <w:pStyle w:val="Stopka"/>
    </w:pPr>
  </w:p>
  <w:p w14:paraId="35932FD4" w14:textId="77777777" w:rsidR="00CF64BC" w:rsidRDefault="00CF64BC"/>
  <w:p w14:paraId="5B9880D2" w14:textId="77777777" w:rsidR="00CF64BC" w:rsidRDefault="00CF6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3025" w14:textId="77777777" w:rsidR="00CF64BC" w:rsidRDefault="00CF64BC" w:rsidP="0050422B">
      <w:r>
        <w:separator/>
      </w:r>
    </w:p>
    <w:p w14:paraId="2A7FAA85" w14:textId="77777777" w:rsidR="00CF64BC" w:rsidRDefault="00CF64BC"/>
    <w:p w14:paraId="12FA2F8D" w14:textId="77777777" w:rsidR="00CF64BC" w:rsidRDefault="00CF64BC"/>
  </w:footnote>
  <w:footnote w:type="continuationSeparator" w:id="0">
    <w:p w14:paraId="030A276C" w14:textId="77777777" w:rsidR="00CF64BC" w:rsidRDefault="00CF64BC" w:rsidP="0050422B">
      <w:r>
        <w:continuationSeparator/>
      </w:r>
    </w:p>
    <w:p w14:paraId="59AA94A2" w14:textId="77777777" w:rsidR="00CF64BC" w:rsidRDefault="00CF64BC"/>
    <w:p w14:paraId="258A5640" w14:textId="77777777" w:rsidR="00CF64BC" w:rsidRDefault="00CF64BC"/>
  </w:footnote>
  <w:footnote w:id="1">
    <w:p w14:paraId="63411E8A" w14:textId="77777777" w:rsidR="00CF64BC" w:rsidRDefault="00CF64BC">
      <w:pPr>
        <w:pStyle w:val="Tekstprzypisudolnego"/>
      </w:pPr>
      <w:r>
        <w:rPr>
          <w:rStyle w:val="Odwoanieprzypisudolnego"/>
        </w:rPr>
        <w:footnoteRef/>
      </w:r>
      <w:r>
        <w:t xml:space="preserve"> Przekreślić, jeśli nie dotyczy</w:t>
      </w:r>
    </w:p>
  </w:footnote>
  <w:footnote w:id="2">
    <w:p w14:paraId="543D88F2" w14:textId="77777777" w:rsidR="00CF64BC" w:rsidRDefault="00CF64BC"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CF64BC" w:rsidRDefault="00CF64BC"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CF64BC" w:rsidRDefault="00CF64BC"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CF64BC" w:rsidRDefault="00CF64BC"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CF64BC" w:rsidRDefault="00CF64BC" w:rsidP="00654B3D">
      <w:pPr>
        <w:pStyle w:val="Tekstprzypisudolnego"/>
      </w:pPr>
      <w:r>
        <w:rPr>
          <w:rStyle w:val="Odwoanieprzypisudolnego"/>
        </w:rPr>
        <w:footnoteRef/>
      </w:r>
      <w:r>
        <w:t xml:space="preserve"> Dotyczy Poddziałania 8.2.1.RPOWP</w:t>
      </w:r>
    </w:p>
  </w:footnote>
  <w:footnote w:id="7">
    <w:p w14:paraId="11BBA00B" w14:textId="77777777" w:rsidR="00CF64BC" w:rsidRDefault="00CF64BC"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CF64BC" w:rsidRDefault="00CF64BC"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7AF81E8E" w14:textId="7EF96CC0" w:rsidR="00CF64BC" w:rsidRPr="00CF64BC" w:rsidRDefault="00CF64BC">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0">
    <w:p w14:paraId="0F7C62FA" w14:textId="77777777" w:rsidR="00CF64BC" w:rsidRPr="006F3F97" w:rsidRDefault="00CF64BC"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1">
    <w:p w14:paraId="31EDBD67" w14:textId="19B954AC" w:rsidR="00CF64BC" w:rsidRDefault="00CF64BC"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2">
    <w:p w14:paraId="0887F52F"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MNiSW lub inne środki publiczne i zasady, na jakich wsparcie to zostało udzielone, oraz włączyć je w zakres monitorowania.</w:t>
      </w:r>
    </w:p>
  </w:footnote>
  <w:footnote w:id="13">
    <w:p w14:paraId="62D5BA9A" w14:textId="77777777" w:rsidR="00CF64BC" w:rsidRDefault="00CF64BC" w:rsidP="006F3F97">
      <w:pPr>
        <w:pStyle w:val="Tekstprzypisudolnego"/>
      </w:pPr>
      <w:r>
        <w:rPr>
          <w:rStyle w:val="Odwoanieprzypisudolnego"/>
        </w:rPr>
        <w:footnoteRef/>
      </w:r>
      <w:r>
        <w:t xml:space="preserve"> Jw.</w:t>
      </w:r>
    </w:p>
  </w:footnote>
  <w:footnote w:id="14">
    <w:p w14:paraId="3C649E6E" w14:textId="77777777" w:rsidR="00CF64BC" w:rsidRPr="006F3F97" w:rsidRDefault="00CF64BC"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5">
    <w:p w14:paraId="7B1EBECB" w14:textId="49669C19" w:rsidR="00CF64BC" w:rsidRPr="006F3F97" w:rsidRDefault="00CF64BC"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6">
    <w:p w14:paraId="658A73F8" w14:textId="77777777" w:rsidR="00CF64BC" w:rsidRDefault="00CF64BC">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7">
    <w:p w14:paraId="0B8FE59C" w14:textId="2D89A326" w:rsidR="00CF64BC" w:rsidRDefault="00CF64BC">
      <w:pPr>
        <w:pStyle w:val="Tekstprzypisudolnego"/>
      </w:pPr>
      <w:r>
        <w:rPr>
          <w:rStyle w:val="Odwoanieprzypisudolnego"/>
        </w:rPr>
        <w:footnoteRef/>
      </w:r>
      <w:r>
        <w:t xml:space="preserve"> J.w</w:t>
      </w:r>
      <w:r w:rsidRPr="003E75FC">
        <w:t>.</w:t>
      </w:r>
    </w:p>
  </w:footnote>
  <w:footnote w:id="18">
    <w:p w14:paraId="2A685675" w14:textId="77777777" w:rsidR="00CF64BC" w:rsidRDefault="00CF64BC"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19">
    <w:p w14:paraId="7FC99699" w14:textId="77777777" w:rsidR="00CF64BC" w:rsidRDefault="00CF64BC"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0">
    <w:p w14:paraId="73A37273" w14:textId="77777777" w:rsidR="00CF64BC" w:rsidRDefault="00CF64BC" w:rsidP="006F3F97">
      <w:pPr>
        <w:pStyle w:val="Tekstprzypisudolnego"/>
      </w:pPr>
      <w:r>
        <w:rPr>
          <w:rStyle w:val="Odwoanieprzypisudolnego"/>
        </w:rPr>
        <w:footnoteRef/>
      </w:r>
      <w:r>
        <w:t xml:space="preserve"> jw.</w:t>
      </w:r>
    </w:p>
  </w:footnote>
  <w:footnote w:id="21">
    <w:p w14:paraId="606AA42E" w14:textId="77777777" w:rsidR="00CF64BC" w:rsidRPr="0016482A" w:rsidRDefault="00CF64BC"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25DA" w14:textId="77777777" w:rsidR="00CF64BC" w:rsidRDefault="00CF64BC">
    <w:pPr>
      <w:pStyle w:val="Nagwek"/>
    </w:pPr>
  </w:p>
  <w:p w14:paraId="2B812684" w14:textId="370ECCAD" w:rsidR="00CF64BC" w:rsidRPr="00683D53" w:rsidRDefault="00CF64BC"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5"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7"/>
  </w:num>
  <w:num w:numId="6">
    <w:abstractNumId w:val="3"/>
  </w:num>
  <w:num w:numId="7">
    <w:abstractNumId w:val="73"/>
  </w:num>
  <w:num w:numId="8">
    <w:abstractNumId w:val="76"/>
  </w:num>
  <w:num w:numId="9">
    <w:abstractNumId w:val="46"/>
  </w:num>
  <w:num w:numId="10">
    <w:abstractNumId w:val="13"/>
  </w:num>
  <w:num w:numId="11">
    <w:abstractNumId w:val="38"/>
  </w:num>
  <w:num w:numId="12">
    <w:abstractNumId w:val="20"/>
  </w:num>
  <w:num w:numId="13">
    <w:abstractNumId w:val="49"/>
  </w:num>
  <w:num w:numId="14">
    <w:abstractNumId w:val="19"/>
  </w:num>
  <w:num w:numId="15">
    <w:abstractNumId w:val="37"/>
  </w:num>
  <w:num w:numId="16">
    <w:abstractNumId w:val="0"/>
  </w:num>
  <w:num w:numId="17">
    <w:abstractNumId w:val="67"/>
  </w:num>
  <w:num w:numId="18">
    <w:abstractNumId w:val="77"/>
  </w:num>
  <w:num w:numId="19">
    <w:abstractNumId w:val="72"/>
  </w:num>
  <w:num w:numId="20">
    <w:abstractNumId w:val="30"/>
  </w:num>
  <w:num w:numId="21">
    <w:abstractNumId w:val="62"/>
  </w:num>
  <w:num w:numId="22">
    <w:abstractNumId w:val="5"/>
  </w:num>
  <w:num w:numId="23">
    <w:abstractNumId w:val="40"/>
  </w:num>
  <w:num w:numId="24">
    <w:abstractNumId w:val="35"/>
  </w:num>
  <w:num w:numId="25">
    <w:abstractNumId w:val="32"/>
  </w:num>
  <w:num w:numId="26">
    <w:abstractNumId w:val="58"/>
  </w:num>
  <w:num w:numId="27">
    <w:abstractNumId w:val="6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4"/>
  </w:num>
  <w:num w:numId="33">
    <w:abstractNumId w:val="22"/>
  </w:num>
  <w:num w:numId="34">
    <w:abstractNumId w:val="51"/>
  </w:num>
  <w:num w:numId="35">
    <w:abstractNumId w:val="80"/>
  </w:num>
  <w:num w:numId="36">
    <w:abstractNumId w:val="6"/>
  </w:num>
  <w:num w:numId="37">
    <w:abstractNumId w:val="7"/>
  </w:num>
  <w:num w:numId="38">
    <w:abstractNumId w:val="8"/>
  </w:num>
  <w:num w:numId="39">
    <w:abstractNumId w:val="39"/>
  </w:num>
  <w:num w:numId="40">
    <w:abstractNumId w:val="14"/>
  </w:num>
  <w:num w:numId="41">
    <w:abstractNumId w:val="55"/>
  </w:num>
  <w:num w:numId="42">
    <w:abstractNumId w:val="53"/>
  </w:num>
  <w:num w:numId="43">
    <w:abstractNumId w:val="2"/>
  </w:num>
  <w:num w:numId="44">
    <w:abstractNumId w:val="60"/>
  </w:num>
  <w:num w:numId="45">
    <w:abstractNumId w:val="65"/>
  </w:num>
  <w:num w:numId="46">
    <w:abstractNumId w:val="61"/>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8"/>
  </w:num>
  <w:num w:numId="51">
    <w:abstractNumId w:val="54"/>
  </w:num>
  <w:num w:numId="52">
    <w:abstractNumId w:val="68"/>
  </w:num>
  <w:num w:numId="53">
    <w:abstractNumId w:val="12"/>
  </w:num>
  <w:num w:numId="54">
    <w:abstractNumId w:val="26"/>
  </w:num>
  <w:num w:numId="55">
    <w:abstractNumId w:val="79"/>
  </w:num>
  <w:num w:numId="56">
    <w:abstractNumId w:val="1"/>
  </w:num>
  <w:num w:numId="57">
    <w:abstractNumId w:val="70"/>
  </w:num>
  <w:num w:numId="58">
    <w:abstractNumId w:val="50"/>
  </w:num>
  <w:num w:numId="59">
    <w:abstractNumId w:val="17"/>
  </w:num>
  <w:num w:numId="60">
    <w:abstractNumId w:val="23"/>
  </w:num>
  <w:num w:numId="61">
    <w:abstractNumId w:val="42"/>
  </w:num>
  <w:num w:numId="62">
    <w:abstractNumId w:val="4"/>
  </w:num>
  <w:num w:numId="63">
    <w:abstractNumId w:val="71"/>
  </w:num>
  <w:num w:numId="64">
    <w:abstractNumId w:val="11"/>
  </w:num>
  <w:num w:numId="65">
    <w:abstractNumId w:val="74"/>
  </w:num>
  <w:num w:numId="66">
    <w:abstractNumId w:val="41"/>
  </w:num>
  <w:num w:numId="67">
    <w:abstractNumId w:val="64"/>
  </w:num>
  <w:num w:numId="68">
    <w:abstractNumId w:val="59"/>
  </w:num>
  <w:num w:numId="69">
    <w:abstractNumId w:val="45"/>
  </w:num>
  <w:num w:numId="70">
    <w:abstractNumId w:val="66"/>
  </w:num>
  <w:num w:numId="71">
    <w:abstractNumId w:val="44"/>
  </w:num>
  <w:num w:numId="72">
    <w:abstractNumId w:val="36"/>
  </w:num>
  <w:num w:numId="73">
    <w:abstractNumId w:val="63"/>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num>
  <w:num w:numId="76">
    <w:abstractNumId w:val="28"/>
  </w:num>
  <w:num w:numId="77">
    <w:abstractNumId w:val="56"/>
  </w:num>
  <w:num w:numId="78">
    <w:abstractNumId w:val="75"/>
  </w:num>
  <w:num w:numId="79">
    <w:abstractNumId w:val="57"/>
  </w:num>
  <w:num w:numId="80">
    <w:abstractNumId w:val="43"/>
  </w:num>
  <w:num w:numId="81">
    <w:abstractNumId w:val="31"/>
  </w:num>
  <w:num w:numId="82">
    <w:abstractNumId w:val="24"/>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5A12"/>
    <w:rsid w:val="00495B35"/>
    <w:rsid w:val="004967F2"/>
    <w:rsid w:val="004A53C0"/>
    <w:rsid w:val="004B77C8"/>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47D81"/>
    <w:rsid w:val="00550D1C"/>
    <w:rsid w:val="00551D0E"/>
    <w:rsid w:val="00554DB7"/>
    <w:rsid w:val="00555029"/>
    <w:rsid w:val="00555E3C"/>
    <w:rsid w:val="005568E4"/>
    <w:rsid w:val="00563B5F"/>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E14BE"/>
    <w:rsid w:val="005F4EFB"/>
    <w:rsid w:val="005F5AE5"/>
    <w:rsid w:val="006027C0"/>
    <w:rsid w:val="006068C1"/>
    <w:rsid w:val="00613502"/>
    <w:rsid w:val="006178F7"/>
    <w:rsid w:val="0062300A"/>
    <w:rsid w:val="00623614"/>
    <w:rsid w:val="00631BF3"/>
    <w:rsid w:val="0064066B"/>
    <w:rsid w:val="00646E41"/>
    <w:rsid w:val="00650711"/>
    <w:rsid w:val="00654B3D"/>
    <w:rsid w:val="00655CA4"/>
    <w:rsid w:val="00673E38"/>
    <w:rsid w:val="00674434"/>
    <w:rsid w:val="00675261"/>
    <w:rsid w:val="006758F3"/>
    <w:rsid w:val="00677DAE"/>
    <w:rsid w:val="00683D53"/>
    <w:rsid w:val="0069046A"/>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3252C"/>
    <w:rsid w:val="0083755C"/>
    <w:rsid w:val="00840934"/>
    <w:rsid w:val="00840F85"/>
    <w:rsid w:val="008417DF"/>
    <w:rsid w:val="00843A7D"/>
    <w:rsid w:val="00846E4A"/>
    <w:rsid w:val="00854C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C1085"/>
    <w:rsid w:val="008C55A8"/>
    <w:rsid w:val="008D0DC4"/>
    <w:rsid w:val="008D374C"/>
    <w:rsid w:val="008D3830"/>
    <w:rsid w:val="008D6DA8"/>
    <w:rsid w:val="008D7947"/>
    <w:rsid w:val="008E4899"/>
    <w:rsid w:val="008F05F7"/>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E76AD"/>
  <w15:docId w15:val="{135D3E79-863F-46DC-A23E-4E33248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7672-3A6B-4670-A553-E5C33011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19219</Words>
  <Characters>115320</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Sarosiek</dc:creator>
  <cp:lastModifiedBy>DRR-II</cp:lastModifiedBy>
  <cp:revision>2</cp:revision>
  <cp:lastPrinted>2019-04-16T11:45:00Z</cp:lastPrinted>
  <dcterms:created xsi:type="dcterms:W3CDTF">2019-07-02T09:34:00Z</dcterms:created>
  <dcterms:modified xsi:type="dcterms:W3CDTF">2019-07-02T09:34:00Z</dcterms:modified>
</cp:coreProperties>
</file>